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C60ED6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3A3549">
        <w:rPr>
          <w:bCs/>
          <w:noProof w:val="0"/>
          <w:sz w:val="24"/>
          <w:szCs w:val="24"/>
        </w:rPr>
        <w:t>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91497">
        <w:rPr>
          <w:bCs/>
          <w:noProof w:val="0"/>
          <w:sz w:val="24"/>
          <w:szCs w:val="24"/>
        </w:rPr>
        <w:t>07883</w:t>
      </w:r>
    </w:p>
    <w:p w14:paraId="231362B2" w14:textId="7BD135C5" w:rsidR="00CD4C7B" w:rsidRPr="00B266B0" w:rsidRDefault="00295AFC" w:rsidP="00CD4C7B">
      <w:pPr>
        <w:pStyle w:val="Header"/>
        <w:tabs>
          <w:tab w:val="right" w:pos="9639"/>
        </w:tabs>
        <w:rPr>
          <w:bCs/>
          <w:noProof w:val="0"/>
          <w:sz w:val="24"/>
          <w:szCs w:val="24"/>
        </w:rPr>
      </w:pPr>
      <w:r>
        <w:rPr>
          <w:rFonts w:eastAsia="SimSun"/>
          <w:noProof w:val="0"/>
          <w:sz w:val="24"/>
          <w:szCs w:val="24"/>
          <w:lang w:eastAsia="zh-CN"/>
        </w:rPr>
        <w:t>Busan</w:t>
      </w:r>
      <w:r w:rsidR="00231728" w:rsidRPr="00231728">
        <w:rPr>
          <w:rFonts w:eastAsia="SimSun"/>
          <w:noProof w:val="0"/>
          <w:sz w:val="24"/>
          <w:szCs w:val="24"/>
          <w:lang w:eastAsia="zh-CN"/>
        </w:rPr>
        <w:t xml:space="preserve">, </w:t>
      </w:r>
      <w:r w:rsidR="00755C97">
        <w:rPr>
          <w:rFonts w:eastAsia="SimSun"/>
          <w:noProof w:val="0"/>
          <w:sz w:val="24"/>
          <w:szCs w:val="24"/>
          <w:lang w:eastAsia="zh-CN"/>
        </w:rPr>
        <w:t>South</w:t>
      </w:r>
      <w:r>
        <w:rPr>
          <w:rFonts w:eastAsia="SimSun"/>
          <w:noProof w:val="0"/>
          <w:sz w:val="24"/>
          <w:szCs w:val="24"/>
          <w:lang w:eastAsia="zh-CN"/>
        </w:rPr>
        <w:t xml:space="preserve"> Korea</w:t>
      </w:r>
      <w:r w:rsidR="00231728" w:rsidRPr="00231728">
        <w:rPr>
          <w:rFonts w:eastAsia="SimSun"/>
          <w:noProof w:val="0"/>
          <w:sz w:val="24"/>
          <w:szCs w:val="24"/>
          <w:lang w:eastAsia="zh-CN"/>
        </w:rPr>
        <w:t xml:space="preserve">, </w:t>
      </w:r>
      <w:r>
        <w:rPr>
          <w:rFonts w:eastAsia="SimSun"/>
          <w:noProof w:val="0"/>
          <w:sz w:val="24"/>
          <w:szCs w:val="24"/>
          <w:lang w:eastAsia="zh-CN"/>
        </w:rPr>
        <w:t>21</w:t>
      </w:r>
      <w:r w:rsidRPr="00295AFC">
        <w:rPr>
          <w:rFonts w:eastAsia="SimSun"/>
          <w:noProof w:val="0"/>
          <w:sz w:val="24"/>
          <w:szCs w:val="24"/>
          <w:vertAlign w:val="superscript"/>
          <w:lang w:eastAsia="zh-CN"/>
        </w:rPr>
        <w:t>st</w:t>
      </w:r>
      <w:r>
        <w:rPr>
          <w:rFonts w:eastAsia="SimSun"/>
          <w:noProof w:val="0"/>
          <w:sz w:val="24"/>
          <w:szCs w:val="24"/>
          <w:lang w:eastAsia="zh-CN"/>
        </w:rPr>
        <w:t xml:space="preserve"> – 25</w:t>
      </w:r>
      <w:r w:rsidRPr="00295AFC">
        <w:rPr>
          <w:rFonts w:eastAsia="SimSun"/>
          <w:noProof w:val="0"/>
          <w:sz w:val="24"/>
          <w:szCs w:val="24"/>
          <w:vertAlign w:val="superscript"/>
          <w:lang w:eastAsia="zh-CN"/>
        </w:rPr>
        <w:t>th</w:t>
      </w:r>
      <w:r>
        <w:rPr>
          <w:rFonts w:eastAsia="SimSun"/>
          <w:noProof w:val="0"/>
          <w:sz w:val="24"/>
          <w:szCs w:val="24"/>
          <w:lang w:eastAsia="zh-CN"/>
        </w:rPr>
        <w:t xml:space="preserve"> May</w:t>
      </w:r>
      <w:r w:rsidR="00231728" w:rsidRPr="0023172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803EC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510A">
        <w:rPr>
          <w:rFonts w:cs="Arial"/>
          <w:b/>
          <w:bCs/>
          <w:sz w:val="24"/>
          <w:lang w:eastAsia="ja-JP"/>
        </w:rPr>
        <w:t>9.18.4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32A3265" w:rsidR="00CD4C7B" w:rsidRDefault="00A84478"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B7654">
        <w:rPr>
          <w:rFonts w:ascii="Arial" w:hAnsi="Arial" w:cs="Arial"/>
          <w:b/>
          <w:bCs/>
          <w:sz w:val="24"/>
        </w:rPr>
        <w:t xml:space="preserve">On the </w:t>
      </w:r>
      <w:r w:rsidR="002153B5">
        <w:rPr>
          <w:rFonts w:ascii="Arial" w:hAnsi="Arial" w:cs="Arial"/>
          <w:b/>
          <w:bCs/>
          <w:sz w:val="24"/>
        </w:rPr>
        <w:t>advantages</w:t>
      </w:r>
      <w:r w:rsidR="00435DBC">
        <w:rPr>
          <w:rFonts w:ascii="Arial" w:hAnsi="Arial" w:cs="Arial"/>
          <w:b/>
          <w:bCs/>
          <w:sz w:val="24"/>
        </w:rPr>
        <w:t xml:space="preserve"> of triggering via “number of cells” over “summed RSRP”</w:t>
      </w:r>
    </w:p>
    <w:p w14:paraId="3AC3A0B1" w14:textId="7DA066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4478" w:rsidRPr="00A84478">
        <w:rPr>
          <w:rFonts w:ascii="Arial" w:hAnsi="Arial" w:cs="Arial"/>
          <w:b/>
          <w:bCs/>
          <w:sz w:val="24"/>
        </w:rPr>
        <w:t>LTE_Aerial-Core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BDFE30F" w14:textId="41347695" w:rsidR="00655497" w:rsidRDefault="00D14F57" w:rsidP="00CF16FD">
      <w:pPr>
        <w:jc w:val="both"/>
      </w:pPr>
      <w:r>
        <w:t>During the 3GPP RAN2#101</w:t>
      </w:r>
      <w:r w:rsidR="00655497">
        <w:t>bis</w:t>
      </w:r>
      <w:r>
        <w:t xml:space="preserve"> meeting</w:t>
      </w:r>
      <w:r w:rsidR="00435DBC">
        <w:t xml:space="preserve"> it has been widely discussed (including several “show of hands” attempts and even </w:t>
      </w:r>
      <w:r w:rsidR="007D27DF">
        <w:t>a</w:t>
      </w:r>
      <w:r w:rsidR="00435DBC">
        <w:t xml:space="preserve"> threat of sustained objection!)</w:t>
      </w:r>
      <w:r w:rsidR="00F1307A">
        <w:t>. Finally, negative</w:t>
      </w:r>
      <w:r w:rsidR="00CF16FD">
        <w:t xml:space="preserve"> emotions have faded out and the</w:t>
      </w:r>
      <w:r w:rsidR="00435DBC">
        <w:t xml:space="preserve"> following agreement has been made:</w:t>
      </w:r>
    </w:p>
    <w:tbl>
      <w:tblPr>
        <w:tblStyle w:val="TableGrid"/>
        <w:tblW w:w="0" w:type="auto"/>
        <w:tblLook w:val="04A0" w:firstRow="1" w:lastRow="0" w:firstColumn="1" w:lastColumn="0" w:noHBand="0" w:noVBand="1"/>
      </w:tblPr>
      <w:tblGrid>
        <w:gridCol w:w="9631"/>
      </w:tblGrid>
      <w:tr w:rsidR="00655497" w14:paraId="654B5963" w14:textId="77777777" w:rsidTr="00655497">
        <w:tc>
          <w:tcPr>
            <w:tcW w:w="9631" w:type="dxa"/>
          </w:tcPr>
          <w:p w14:paraId="7C9E7069" w14:textId="7DCFB838" w:rsidR="00BE4D08" w:rsidRDefault="00BE4D08" w:rsidP="00BE4D08">
            <w:r>
              <w:t>3</w:t>
            </w:r>
            <w:r>
              <w:tab/>
              <w:t xml:space="preserve">Introduce the number of triggered cells for interference detection for UAV UE. FFS the sum of RSRP. </w:t>
            </w:r>
          </w:p>
        </w:tc>
      </w:tr>
    </w:tbl>
    <w:p w14:paraId="0BBDFC0A" w14:textId="2ABB9FC5" w:rsidR="00CD4C7B" w:rsidRPr="006E13D1" w:rsidRDefault="00DB7654" w:rsidP="00CF16FD">
      <w:pPr>
        <w:jc w:val="both"/>
      </w:pPr>
      <w:r>
        <w:br/>
      </w:r>
      <w:r w:rsidR="00435DBC">
        <w:t>The alleged benefits of “sum of RSRP”</w:t>
      </w:r>
      <w:r w:rsidR="007D27DF">
        <w:t xml:space="preserve"> in comparison to “N cells triggering” were discussed via RAN2 e-mail thread (report available in </w:t>
      </w:r>
      <w:r w:rsidR="007D27DF">
        <w:fldChar w:fldCharType="begin"/>
      </w:r>
      <w:r w:rsidR="007D27DF">
        <w:instrText xml:space="preserve"> REF _Ref513469502 \r \h </w:instrText>
      </w:r>
      <w:r w:rsidR="00CF16FD">
        <w:instrText xml:space="preserve"> \* MERGEFORMAT </w:instrText>
      </w:r>
      <w:r w:rsidR="007D27DF">
        <w:fldChar w:fldCharType="separate"/>
      </w:r>
      <w:r w:rsidR="007D27DF">
        <w:t>[1]</w:t>
      </w:r>
      <w:r w:rsidR="007D27DF">
        <w:fldChar w:fldCharType="end"/>
      </w:r>
      <w:r w:rsidR="007D27DF">
        <w:t>).</w:t>
      </w:r>
      <w:r w:rsidR="00655497">
        <w:t xml:space="preserve"> This p</w:t>
      </w:r>
      <w:r w:rsidR="002072AF">
        <w:t xml:space="preserve">aper is aimed at depicting that </w:t>
      </w:r>
      <w:r w:rsidR="00270EA7">
        <w:t>“sum of RSRP” does not bring gains compared to the performance offered by “N cells triggering”</w:t>
      </w:r>
      <w:r w:rsidR="00465650">
        <w:t>.</w:t>
      </w:r>
    </w:p>
    <w:p w14:paraId="127ACA6D" w14:textId="731A8D3F" w:rsidR="00CD4C7B" w:rsidRPr="006E13D1" w:rsidRDefault="00602AE0" w:rsidP="00CD4C7B">
      <w:pPr>
        <w:pStyle w:val="Heading1"/>
      </w:pPr>
      <w:r>
        <w:t>2</w:t>
      </w:r>
      <w:r>
        <w:tab/>
        <w:t>Discussion</w:t>
      </w:r>
    </w:p>
    <w:p w14:paraId="67533749" w14:textId="0F1986D8" w:rsidR="00647E2D" w:rsidRPr="006E13D1" w:rsidRDefault="00647E2D" w:rsidP="00647E2D">
      <w:pPr>
        <w:pStyle w:val="Heading2"/>
      </w:pPr>
      <w:bookmarkStart w:id="0" w:name="_Hlk510524870"/>
      <w:r>
        <w:t>2.1</w:t>
      </w:r>
      <w:r>
        <w:tab/>
      </w:r>
      <w:bookmarkEnd w:id="0"/>
      <w:r w:rsidR="001C448C">
        <w:t>Sum of RSRP or N cells above the threshold?</w:t>
      </w:r>
    </w:p>
    <w:p w14:paraId="54B05112" w14:textId="13D8999B" w:rsidR="001C448C" w:rsidRDefault="001C448C" w:rsidP="00465650">
      <w:pPr>
        <w:jc w:val="both"/>
      </w:pPr>
      <w:r>
        <w:t xml:space="preserve">The performance of “sum of RSRP” to trigger the reporting </w:t>
      </w:r>
      <w:r w:rsidR="00CF16FD">
        <w:t>aimed at mitigating</w:t>
      </w:r>
      <w:r>
        <w:t xml:space="preserve"> the interferences is similar to </w:t>
      </w:r>
      <w:r w:rsidR="0064208D">
        <w:t>“</w:t>
      </w:r>
      <w:r>
        <w:t>N cells triggering”, especially when the threshold is used to classify certain cell</w:t>
      </w:r>
      <w:r w:rsidR="00CF16FD">
        <w:t>s</w:t>
      </w:r>
      <w:r>
        <w:t xml:space="preserve"> as</w:t>
      </w:r>
      <w:r w:rsidR="00CF16FD">
        <w:t xml:space="preserve"> “strong interferers”. This has been shown and claimed in our previous TDoc </w:t>
      </w:r>
      <w:r w:rsidR="00CF16FD">
        <w:fldChar w:fldCharType="begin"/>
      </w:r>
      <w:r w:rsidR="00CF16FD">
        <w:instrText xml:space="preserve"> REF _Ref513493674 \r \h </w:instrText>
      </w:r>
      <w:r w:rsidR="00CF16FD">
        <w:fldChar w:fldCharType="separate"/>
      </w:r>
      <w:r w:rsidR="00CF16FD">
        <w:t>[2]</w:t>
      </w:r>
      <w:r w:rsidR="00CF16FD">
        <w:fldChar w:fldCharType="end"/>
      </w:r>
      <w:r w:rsidR="00CF16FD">
        <w:t xml:space="preserve"> and confirmed by several other companies.</w:t>
      </w:r>
      <w:r w:rsidR="0027189C">
        <w:t xml:space="preserve"> Fig.</w:t>
      </w:r>
      <w:r w:rsidR="00BE2865">
        <w:t xml:space="preserve"> 1 </w:t>
      </w:r>
      <w:r w:rsidR="00175D44">
        <w:t xml:space="preserve">jointly depicts the </w:t>
      </w:r>
      <w:r w:rsidR="00BE2865">
        <w:t>p</w:t>
      </w:r>
      <w:r w:rsidR="00175D44">
        <w:t>erformance of sum of RSRP and</w:t>
      </w:r>
      <w:r w:rsidR="00BE2865">
        <w:t xml:space="preserve"> # of cells</w:t>
      </w:r>
      <w:r w:rsidR="00175D44">
        <w:t xml:space="preserve"> triggers</w:t>
      </w:r>
      <w:r w:rsidR="00863842">
        <w:t xml:space="preserve"> in the case of the threshold of including a cell in the sum of RSRP or cell count</w:t>
      </w:r>
      <w:r w:rsidR="002D15A0">
        <w:t>,</w:t>
      </w:r>
      <w:r w:rsidR="00863842">
        <w:t xml:space="preserve"> being -90 dBm</w:t>
      </w:r>
      <w:r w:rsidR="00BE2865">
        <w:t>.</w:t>
      </w:r>
      <w:r w:rsidR="00863842">
        <w:t xml:space="preserve"> Similarly</w:t>
      </w:r>
      <w:r w:rsidR="002D15A0">
        <w:t>,</w:t>
      </w:r>
      <w:r w:rsidR="00863842">
        <w:t xml:space="preserve"> Fig. 2 show</w:t>
      </w:r>
      <w:r w:rsidR="002D15A0">
        <w:t>s</w:t>
      </w:r>
      <w:r w:rsidR="00863842">
        <w:t xml:space="preserve"> the same KPIs for the threshold of -80 dBm. </w:t>
      </w:r>
      <w:r w:rsidR="00BE2865">
        <w:t xml:space="preserve">  </w:t>
      </w:r>
      <w:r w:rsidR="00906D3E">
        <w:t>The measurements have been conducted in the Urban area</w:t>
      </w:r>
      <w:r w:rsidR="00863842">
        <w:t xml:space="preserve"> with a network scanner attached to a drone flying circles at different heights</w:t>
      </w:r>
      <w:r w:rsidR="00906D3E">
        <w:t>.</w:t>
      </w:r>
      <w:r w:rsidR="00175D44">
        <w:t xml:space="preserve"> Vertical axis represents the RSRP sum larger than a threshold (-90 dBm </w:t>
      </w:r>
      <w:r w:rsidR="00863842">
        <w:t xml:space="preserve">or -80 dBm </w:t>
      </w:r>
      <w:r w:rsidR="00175D44">
        <w:t>in th</w:t>
      </w:r>
      <w:r w:rsidR="00863842">
        <w:t>e</w:t>
      </w:r>
      <w:r w:rsidR="00175D44">
        <w:t>s</w:t>
      </w:r>
      <w:r w:rsidR="00863842">
        <w:t>e</w:t>
      </w:r>
      <w:r w:rsidR="00175D44">
        <w:t xml:space="preserve"> case</w:t>
      </w:r>
      <w:r w:rsidR="00C745D3">
        <w:t>s</w:t>
      </w:r>
      <w:r w:rsidR="00175D44">
        <w:t xml:space="preserve">). Horizontal axis shows the number of cells that trigger the measurement report (only cells with the RSRP larger than </w:t>
      </w:r>
      <w:r w:rsidR="00912882">
        <w:t xml:space="preserve">the </w:t>
      </w:r>
      <w:r w:rsidR="00175D44">
        <w:t>threshold are taken into consideration).</w:t>
      </w:r>
      <w:r w:rsidR="003A294A">
        <w:t xml:space="preserve"> Every dot/square symbol is equivalent to the measurement report.</w:t>
      </w:r>
    </w:p>
    <w:p w14:paraId="6A724249" w14:textId="77777777" w:rsidR="00906D3E" w:rsidRDefault="00906D3E" w:rsidP="00465650">
      <w:pPr>
        <w:jc w:val="both"/>
      </w:pPr>
    </w:p>
    <w:p w14:paraId="001D0067" w14:textId="77777777" w:rsidR="0027189C" w:rsidRDefault="00906D3E" w:rsidP="0027189C">
      <w:pPr>
        <w:keepNext/>
        <w:jc w:val="center"/>
      </w:pPr>
      <w:r>
        <w:rPr>
          <w:noProof/>
        </w:rPr>
        <w:lastRenderedPageBreak/>
        <w:drawing>
          <wp:inline distT="0" distB="0" distL="0" distR="0" wp14:anchorId="56D98C33" wp14:editId="5C43A425">
            <wp:extent cx="5333365" cy="399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3365" cy="3999865"/>
                    </a:xfrm>
                    <a:prstGeom prst="rect">
                      <a:avLst/>
                    </a:prstGeom>
                    <a:noFill/>
                  </pic:spPr>
                </pic:pic>
              </a:graphicData>
            </a:graphic>
          </wp:inline>
        </w:drawing>
      </w:r>
    </w:p>
    <w:p w14:paraId="49F606C2" w14:textId="63EF93D5" w:rsidR="00BE2865" w:rsidRDefault="0027189C" w:rsidP="0027189C">
      <w:pPr>
        <w:pStyle w:val="Caption"/>
        <w:jc w:val="center"/>
      </w:pPr>
      <w:r>
        <w:t xml:space="preserve">Fig. </w:t>
      </w:r>
      <w:r w:rsidR="00F40305">
        <w:fldChar w:fldCharType="begin"/>
      </w:r>
      <w:r w:rsidR="00F40305">
        <w:instrText xml:space="preserve"> SEQ Figure \* ARABIC </w:instrText>
      </w:r>
      <w:r w:rsidR="00F40305">
        <w:fldChar w:fldCharType="separate"/>
      </w:r>
      <w:r>
        <w:rPr>
          <w:noProof/>
        </w:rPr>
        <w:t>1</w:t>
      </w:r>
      <w:r w:rsidR="00F40305">
        <w:rPr>
          <w:noProof/>
        </w:rPr>
        <w:fldChar w:fldCharType="end"/>
      </w:r>
      <w:r>
        <w:t xml:space="preserve">: </w:t>
      </w:r>
      <w:r w:rsidRPr="00FC73A7">
        <w:t>Comparison of two different reporting triggers: count of cells above the threshold (-90 dBm) versus sum of RSRP.</w:t>
      </w:r>
    </w:p>
    <w:p w14:paraId="79073655" w14:textId="4C6C021B" w:rsidR="00863842" w:rsidRDefault="00863842" w:rsidP="00196284">
      <w:pPr>
        <w:jc w:val="center"/>
      </w:pPr>
      <w:r w:rsidRPr="00863842">
        <w:rPr>
          <w:noProof/>
        </w:rPr>
        <w:drawing>
          <wp:inline distT="0" distB="0" distL="0" distR="0" wp14:anchorId="24C29D6C" wp14:editId="5D414B4D">
            <wp:extent cx="5322570" cy="3992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739A77F0" w14:textId="367FC4B9" w:rsidR="00863842" w:rsidRDefault="00863842" w:rsidP="00863842">
      <w:pPr>
        <w:pStyle w:val="Caption"/>
        <w:jc w:val="center"/>
      </w:pPr>
      <w:r>
        <w:t xml:space="preserve">Fig. 2: </w:t>
      </w:r>
      <w:r w:rsidRPr="00FC73A7">
        <w:t xml:space="preserve">Comparison of two different reporting triggers: count </w:t>
      </w:r>
      <w:r>
        <w:t>of cells above the threshold (-8</w:t>
      </w:r>
      <w:r w:rsidRPr="00FC73A7">
        <w:t>0 dBm) versus sum of RSRP.</w:t>
      </w:r>
    </w:p>
    <w:p w14:paraId="6699AAF6" w14:textId="77777777" w:rsidR="00863842" w:rsidRPr="00863842" w:rsidRDefault="00863842" w:rsidP="00196284"/>
    <w:p w14:paraId="74250143" w14:textId="24F9DBA5" w:rsidR="0033178D" w:rsidRDefault="00A57730" w:rsidP="00487EC9">
      <w:pPr>
        <w:jc w:val="both"/>
      </w:pPr>
      <w:r>
        <w:lastRenderedPageBreak/>
        <w:t>It can be observed that non</w:t>
      </w:r>
      <w:r w:rsidR="00AA2E4B">
        <w:t>e of these two solutions ensures perfect performance, at every considered height. The span of measured sum of RSRP can reach even 25 dB, e.g. for the 120 meters (denoted by g</w:t>
      </w:r>
      <w:r w:rsidR="00453EDE">
        <w:t>reen square symbols</w:t>
      </w:r>
      <w:r w:rsidR="00AA2E4B">
        <w:t>) and 1 cell triggering</w:t>
      </w:r>
      <w:r w:rsidR="00863842">
        <w:t xml:space="preserve"> for -90 dBm</w:t>
      </w:r>
      <w:r w:rsidR="00AA2E4B">
        <w:t>.</w:t>
      </w:r>
      <w:r w:rsidR="00863842">
        <w:t xml:space="preserve"> At a -80 dBm threshold the measured sum of RSRP can still </w:t>
      </w:r>
      <w:r w:rsidR="00C745D3">
        <w:t>stretch</w:t>
      </w:r>
      <w:r w:rsidR="00F269EF">
        <w:t xml:space="preserve"> over</w:t>
      </w:r>
      <w:r w:rsidR="00863842">
        <w:t xml:space="preserve"> 8 dB for the 120 m case and 1 cell triggering.</w:t>
      </w:r>
      <w:r w:rsidR="00AA2E4B">
        <w:t xml:space="preserve"> Thus, configuring a proper threshold for the sum of RSRP appears to be a non-trivial challenge. </w:t>
      </w:r>
    </w:p>
    <w:p w14:paraId="6B011D7B" w14:textId="53A42BC7" w:rsidR="001E2AC1" w:rsidRPr="001E2AC1" w:rsidRDefault="00AA2E4B" w:rsidP="00487EC9">
      <w:pPr>
        <w:pStyle w:val="ListParagraph"/>
        <w:numPr>
          <w:ilvl w:val="0"/>
          <w:numId w:val="18"/>
        </w:numPr>
        <w:jc w:val="both"/>
        <w:rPr>
          <w:b/>
        </w:rPr>
      </w:pPr>
      <w:bookmarkStart w:id="1" w:name="_Ref513552576"/>
      <w:r>
        <w:rPr>
          <w:b/>
        </w:rPr>
        <w:t>Triggering sum of RSRP can vary a lot for certain heights (even up to 20</w:t>
      </w:r>
      <w:r w:rsidR="002814A2">
        <w:rPr>
          <w:b/>
        </w:rPr>
        <w:t xml:space="preserve"> dB</w:t>
      </w:r>
      <w:r>
        <w:rPr>
          <w:b/>
        </w:rPr>
        <w:t xml:space="preserve"> – 25 dB difference is observed between the lowest and the highest sum triggering the measurement report</w:t>
      </w:r>
      <w:r w:rsidR="00863842">
        <w:rPr>
          <w:b/>
        </w:rPr>
        <w:t xml:space="preserve"> in case of a -90 dBm threshold</w:t>
      </w:r>
      <w:r>
        <w:rPr>
          <w:b/>
        </w:rPr>
        <w:t>)</w:t>
      </w:r>
      <w:r w:rsidR="00453EDE">
        <w:rPr>
          <w:b/>
        </w:rPr>
        <w:t>.</w:t>
      </w:r>
      <w:bookmarkEnd w:id="1"/>
    </w:p>
    <w:p w14:paraId="13FF0297" w14:textId="28D5B999" w:rsidR="00F1307A" w:rsidRDefault="00453EDE" w:rsidP="00487EC9">
      <w:pPr>
        <w:jc w:val="both"/>
      </w:pPr>
      <w:r>
        <w:t>The sum of RSRP</w:t>
      </w:r>
      <w:r w:rsidR="00403D24">
        <w:t xml:space="preserve"> results become</w:t>
      </w:r>
      <w:r>
        <w:t xml:space="preserve"> more convergent for the closer to the ground heights (e.g. 15 meters, red square symbols). </w:t>
      </w:r>
      <w:r w:rsidR="001572D3">
        <w:t xml:space="preserve">At the same time, it has to be admitted that the number of cells above certain RSRP threshold is also not fully stable, at least for certain heights, so not always configuring the threshold N will be simple and accurate. </w:t>
      </w:r>
    </w:p>
    <w:p w14:paraId="2A3DFDEC" w14:textId="6E661464" w:rsidR="009F620C" w:rsidRPr="009F620C" w:rsidRDefault="009F620C" w:rsidP="009F620C">
      <w:pPr>
        <w:pStyle w:val="ListParagraph"/>
        <w:numPr>
          <w:ilvl w:val="0"/>
          <w:numId w:val="18"/>
        </w:numPr>
        <w:jc w:val="both"/>
        <w:rPr>
          <w:b/>
        </w:rPr>
      </w:pPr>
      <w:bookmarkStart w:id="2" w:name="_Ref513552590"/>
      <w:r w:rsidRPr="009F620C">
        <w:rPr>
          <w:b/>
        </w:rPr>
        <w:t xml:space="preserve">The number of cells above the threshold may also </w:t>
      </w:r>
      <w:r w:rsidR="003A294A">
        <w:rPr>
          <w:b/>
        </w:rPr>
        <w:t xml:space="preserve">slightly vary </w:t>
      </w:r>
      <w:r w:rsidRPr="009F620C">
        <w:rPr>
          <w:b/>
        </w:rPr>
        <w:t>within the same height.</w:t>
      </w:r>
      <w:bookmarkEnd w:id="2"/>
    </w:p>
    <w:p w14:paraId="77D06CEC" w14:textId="293D9ADC" w:rsidR="003A294A" w:rsidRDefault="003A294A" w:rsidP="009F620C">
      <w:pPr>
        <w:jc w:val="both"/>
      </w:pPr>
      <w:r>
        <w:t>Those fluctuation, however, are not that massive and can be further mitigated by configuring e.g. higher threshold (-8</w:t>
      </w:r>
      <w:r w:rsidR="002C42FB">
        <w:t>0</w:t>
      </w:r>
      <w:r>
        <w:t xml:space="preserve"> dBm or higher)</w:t>
      </w:r>
      <w:r w:rsidR="00863842">
        <w:t>, as shown in Figure 2.</w:t>
      </w:r>
    </w:p>
    <w:p w14:paraId="1C9371B9" w14:textId="25775467" w:rsidR="009F620C" w:rsidRDefault="003A294A" w:rsidP="009F620C">
      <w:pPr>
        <w:jc w:val="both"/>
      </w:pPr>
      <w:r>
        <w:t>In a nutshell, a</w:t>
      </w:r>
      <w:r w:rsidR="00487EC9">
        <w:t xml:space="preserve">s both solutions seem to have some flaws, we see no point in introducing </w:t>
      </w:r>
      <w:r w:rsidR="00537A70">
        <w:t>“</w:t>
      </w:r>
      <w:r w:rsidR="00487EC9">
        <w:t>sum of RSRP</w:t>
      </w:r>
      <w:r w:rsidR="00537A70">
        <w:t>”</w:t>
      </w:r>
      <w:r w:rsidR="00487EC9">
        <w:t>, which does not guarantee the performance improvement whilst complicating the 3GPP specification and subsequent implementation.</w:t>
      </w:r>
    </w:p>
    <w:p w14:paraId="4D2BE558" w14:textId="03E51B5B" w:rsidR="007F2602" w:rsidRPr="007F2602" w:rsidRDefault="003A294A" w:rsidP="007F2602">
      <w:pPr>
        <w:pStyle w:val="ListParagraph"/>
        <w:numPr>
          <w:ilvl w:val="0"/>
          <w:numId w:val="10"/>
        </w:numPr>
        <w:jc w:val="both"/>
        <w:rPr>
          <w:b/>
        </w:rPr>
      </w:pPr>
      <w:bookmarkStart w:id="3" w:name="_Ref513552605"/>
      <w:r>
        <w:rPr>
          <w:b/>
        </w:rPr>
        <w:t>As both “sum of RSRP” and N cells triggering” have certain performance and stability</w:t>
      </w:r>
      <w:r w:rsidR="002814A2">
        <w:rPr>
          <w:b/>
        </w:rPr>
        <w:t xml:space="preserve"> flaws</w:t>
      </w:r>
      <w:r>
        <w:rPr>
          <w:b/>
        </w:rPr>
        <w:t>, RAN2 is asked not to introduce a more complicated sum of RSRP, which requires n</w:t>
      </w:r>
      <w:r w:rsidR="002814A2">
        <w:rPr>
          <w:b/>
        </w:rPr>
        <w:t>ew measurement event in RRC specification while not providing any performance improvement</w:t>
      </w:r>
      <w:r>
        <w:rPr>
          <w:b/>
        </w:rPr>
        <w:t>.</w:t>
      </w:r>
      <w:bookmarkEnd w:id="3"/>
      <w:r>
        <w:rPr>
          <w:b/>
        </w:rPr>
        <w:t xml:space="preserve"> </w:t>
      </w:r>
    </w:p>
    <w:p w14:paraId="2E7F610B" w14:textId="36E84CAE" w:rsidR="00D311DC" w:rsidRDefault="00D42A62" w:rsidP="00C72F21">
      <w:pPr>
        <w:pStyle w:val="Heading2"/>
      </w:pPr>
      <w:r>
        <w:t>2.2</w:t>
      </w:r>
      <w:r>
        <w:tab/>
      </w:r>
      <w:r w:rsidR="00BE2865">
        <w:t>Is it difficult to set proper value of N?</w:t>
      </w:r>
    </w:p>
    <w:p w14:paraId="5C0B5C80" w14:textId="0390C4CB" w:rsidR="001E2AC1" w:rsidRPr="001233DD" w:rsidRDefault="00707060" w:rsidP="00196284">
      <w:pPr>
        <w:jc w:val="both"/>
      </w:pPr>
      <w:r>
        <w:t xml:space="preserve">At RAN2#101bis it has been commented multiple times that it is rather difficult to set proper value of N, to make sure the event is triggered exactly when necessary. However, as has been shown in </w:t>
      </w:r>
      <w:r>
        <w:fldChar w:fldCharType="begin"/>
      </w:r>
      <w:r>
        <w:instrText xml:space="preserve"> REF _Ref513495362 \r \h </w:instrText>
      </w:r>
      <w:r>
        <w:fldChar w:fldCharType="separate"/>
      </w:r>
      <w:r>
        <w:t>[3]</w:t>
      </w:r>
      <w:r>
        <w:fldChar w:fldCharType="end"/>
      </w:r>
      <w:r>
        <w:t xml:space="preserve">, </w:t>
      </w:r>
      <w:r w:rsidR="00AC0825">
        <w:t>the number of strongly interfering neighbouring cells</w:t>
      </w:r>
      <w:r w:rsidR="00196284">
        <w:t xml:space="preserve"> flattens with the increasing height and becomes</w:t>
      </w:r>
      <w:r w:rsidR="00AC0825">
        <w:t xml:space="preserve"> rather stable, largely due to the existence of line-of-sight relationship between the UAV and multiple neighbouring cells. </w:t>
      </w:r>
      <w:r w:rsidR="00E77BFB">
        <w:t>The amount of those interferers will not vary rapidly, but is quite predictable and usually changes significantly only between the environment types (i.e. different threshold for the number of cells in the Urban deployment, different in the Suburban</w:t>
      </w:r>
      <w:r w:rsidR="00070C21">
        <w:t>/Rural</w:t>
      </w:r>
      <w:r w:rsidR="00E77BFB">
        <w:t xml:space="preserve"> environment). </w:t>
      </w:r>
      <w:r w:rsidR="00AC0825">
        <w:t>The</w:t>
      </w:r>
      <w:r w:rsidR="002814A2">
        <w:t xml:space="preserve"> results in Fig. 1 show a slight deviation from this full predictability, but still</w:t>
      </w:r>
      <w:r w:rsidR="00E77BFB">
        <w:t>,</w:t>
      </w:r>
      <w:r w:rsidR="002814A2">
        <w:t xml:space="preserve"> in the majority of cases</w:t>
      </w:r>
      <w:r w:rsidR="00E77BFB">
        <w:t>,</w:t>
      </w:r>
      <w:r w:rsidR="002814A2">
        <w:t xml:space="preserve"> it would be possible to configure a safe N value</w:t>
      </w:r>
      <w:r w:rsidR="00E77BFB">
        <w:t>, ensuring timely reporting and avoiding excessive signalling</w:t>
      </w:r>
      <w:r w:rsidR="002814A2">
        <w:t>.</w:t>
      </w:r>
    </w:p>
    <w:p w14:paraId="5CFEC83A" w14:textId="410153BF" w:rsidR="001E2AC1" w:rsidRPr="004542F4" w:rsidRDefault="004542F4" w:rsidP="004542F4">
      <w:pPr>
        <w:pStyle w:val="ListParagraph"/>
        <w:numPr>
          <w:ilvl w:val="0"/>
          <w:numId w:val="18"/>
        </w:numPr>
        <w:jc w:val="both"/>
        <w:rPr>
          <w:b/>
        </w:rPr>
      </w:pPr>
      <w:bookmarkStart w:id="4" w:name="_Ref513552617"/>
      <w:r w:rsidRPr="004542F4">
        <w:rPr>
          <w:b/>
        </w:rPr>
        <w:t>N (</w:t>
      </w:r>
      <w:r w:rsidR="00E77BFB">
        <w:rPr>
          <w:b/>
        </w:rPr>
        <w:t xml:space="preserve">i.e. </w:t>
      </w:r>
      <w:r w:rsidRPr="004542F4">
        <w:rPr>
          <w:b/>
        </w:rPr>
        <w:t xml:space="preserve">number of strongly interfering cells), used as trigger for interference-related measurement reporting is </w:t>
      </w:r>
      <w:r w:rsidR="00E77BFB">
        <w:rPr>
          <w:b/>
        </w:rPr>
        <w:t xml:space="preserve">pretty </w:t>
      </w:r>
      <w:r w:rsidRPr="004542F4">
        <w:rPr>
          <w:b/>
        </w:rPr>
        <w:t>stable and varies</w:t>
      </w:r>
      <w:r w:rsidR="00E77BFB">
        <w:rPr>
          <w:b/>
        </w:rPr>
        <w:t xml:space="preserve"> substantially</w:t>
      </w:r>
      <w:r w:rsidRPr="004542F4">
        <w:rPr>
          <w:b/>
        </w:rPr>
        <w:t xml:space="preserve"> only between the environment types (e.g. urban, rural)</w:t>
      </w:r>
      <w:r w:rsidR="00E77BFB">
        <w:rPr>
          <w:b/>
        </w:rPr>
        <w:t>. S</w:t>
      </w:r>
      <w:r w:rsidR="00D31619">
        <w:rPr>
          <w:b/>
        </w:rPr>
        <w:t>um of RSRP may span within 25 dB for a single height</w:t>
      </w:r>
      <w:r w:rsidR="00863842">
        <w:rPr>
          <w:b/>
        </w:rPr>
        <w:t xml:space="preserve"> at a -90 dBm threshold</w:t>
      </w:r>
      <w:r w:rsidR="00D31619">
        <w:rPr>
          <w:b/>
        </w:rPr>
        <w:t>, implying a much larger degree of unpredictability.</w:t>
      </w:r>
      <w:bookmarkEnd w:id="4"/>
    </w:p>
    <w:p w14:paraId="6BF69038" w14:textId="46CAE7F5" w:rsidR="004542F4" w:rsidRPr="00D8393B" w:rsidRDefault="00601C1C" w:rsidP="00384460">
      <w:pPr>
        <w:jc w:val="both"/>
        <w:rPr>
          <w:b/>
        </w:rPr>
      </w:pPr>
      <w:r>
        <w:t>T</w:t>
      </w:r>
      <w:r w:rsidR="001233DD">
        <w:t>hus, it see</w:t>
      </w:r>
      <w:r w:rsidR="00384460">
        <w:t xml:space="preserve">ms to be invalid </w:t>
      </w:r>
      <w:r w:rsidR="001233DD">
        <w:t>to claim that N would have to be set to an extremely small value (e.g. 1 or at most 2) in order to make sure the reporting is triggered early enough to avoid potential fluctuation over the relatively sma</w:t>
      </w:r>
      <w:r w:rsidR="00F83D9A">
        <w:t>ll area (expressed in the number</w:t>
      </w:r>
      <w:bookmarkStart w:id="5" w:name="_GoBack"/>
      <w:bookmarkEnd w:id="5"/>
      <w:r w:rsidR="001233DD">
        <w:t xml:space="preserve"> of strong interferers). </w:t>
      </w:r>
    </w:p>
    <w:p w14:paraId="626A6694" w14:textId="29F5EE5A" w:rsidR="001233DD" w:rsidRDefault="001233DD" w:rsidP="001233DD">
      <w:pPr>
        <w:pStyle w:val="Heading2"/>
      </w:pPr>
      <w:r>
        <w:t>2.3</w:t>
      </w:r>
      <w:r>
        <w:tab/>
        <w:t>New event or the modification of the existing</w:t>
      </w:r>
      <w:r w:rsidR="00175D44">
        <w:t xml:space="preserve"> event</w:t>
      </w:r>
      <w:r>
        <w:t>?</w:t>
      </w:r>
    </w:p>
    <w:p w14:paraId="4973B8D7" w14:textId="43EA1253" w:rsidR="001233DD" w:rsidRDefault="004542F4" w:rsidP="001233DD">
      <w:pPr>
        <w:jc w:val="both"/>
      </w:pPr>
      <w:r>
        <w:t>As there are no extra gains of introducing sum of RSRP, in comparison to the already agreed N cells triggering, we believe it is not worth the expense of the new measurement event.</w:t>
      </w:r>
      <w:r w:rsidR="00384460">
        <w:t xml:space="preserve"> This will have an impact on RRC specification and subsequent implementations while not bringing any benefits with respect to the accuracy of measurement triggering. When the measurement report is triggered (due to the # of cells above certain RSRP threshold), the eNB will receive the individual results per cell</w:t>
      </w:r>
      <w:r w:rsidR="00B70E1C">
        <w:t xml:space="preserve"> as a part of the report</w:t>
      </w:r>
      <w:r w:rsidR="00384460">
        <w:t xml:space="preserve"> and will be capable of </w:t>
      </w:r>
      <w:r w:rsidR="00B70E1C">
        <w:t>summing the RSRP</w:t>
      </w:r>
      <w:r w:rsidR="00F90D25">
        <w:t xml:space="preserve"> </w:t>
      </w:r>
      <w:r w:rsidR="00B918E1">
        <w:t>measurements</w:t>
      </w:r>
      <w:r w:rsidR="00B70E1C">
        <w:t>, if needed. To summarize it briefly, we propose the following:</w:t>
      </w:r>
    </w:p>
    <w:p w14:paraId="0C1CF915" w14:textId="6AB4B9AC" w:rsidR="004542F4" w:rsidRDefault="00B70E1C" w:rsidP="004542F4">
      <w:pPr>
        <w:pStyle w:val="ListParagraph"/>
        <w:numPr>
          <w:ilvl w:val="0"/>
          <w:numId w:val="10"/>
        </w:numPr>
        <w:jc w:val="both"/>
        <w:rPr>
          <w:b/>
        </w:rPr>
      </w:pPr>
      <w:bookmarkStart w:id="6" w:name="_Ref513552636"/>
      <w:r>
        <w:rPr>
          <w:b/>
        </w:rPr>
        <w:t>Do not introduce a new event triggered based on the sum of RSRP from the neighbouring cells. Comparable performance can be achieved by simpler means, such as already agreed number of cells triggering.</w:t>
      </w:r>
      <w:bookmarkEnd w:id="6"/>
    </w:p>
    <w:p w14:paraId="3243FC70" w14:textId="75381F50" w:rsidR="00196284" w:rsidRDefault="00196284" w:rsidP="00196284">
      <w:pPr>
        <w:pStyle w:val="ListParagraph"/>
        <w:ind w:left="0"/>
        <w:jc w:val="both"/>
        <w:rPr>
          <w:b/>
        </w:rPr>
      </w:pPr>
    </w:p>
    <w:p w14:paraId="05163CF9" w14:textId="77777777" w:rsidR="00196284" w:rsidRPr="00D8393B" w:rsidRDefault="00196284" w:rsidP="00196284">
      <w:pPr>
        <w:pStyle w:val="ListParagraph"/>
        <w:ind w:left="0"/>
        <w:jc w:val="both"/>
        <w:rPr>
          <w:b/>
        </w:rPr>
      </w:pPr>
    </w:p>
    <w:p w14:paraId="43A12B72" w14:textId="4046CE1C" w:rsidR="00CD4C7B" w:rsidRPr="006E13D1" w:rsidRDefault="00340A10" w:rsidP="00CD4C7B">
      <w:pPr>
        <w:pStyle w:val="Heading1"/>
      </w:pPr>
      <w:r>
        <w:lastRenderedPageBreak/>
        <w:t>3</w:t>
      </w:r>
      <w:r w:rsidR="00602AE0">
        <w:tab/>
        <w:t>Conclusion</w:t>
      </w:r>
    </w:p>
    <w:p w14:paraId="190C81D1" w14:textId="2EF181B9" w:rsidR="00CD4C7B" w:rsidRDefault="004B5F8B" w:rsidP="00CD4C7B">
      <w:r>
        <w:t>This TDoc</w:t>
      </w:r>
      <w:r w:rsidR="003A115B">
        <w:t xml:space="preserve"> was aimed at </w:t>
      </w:r>
      <w:r w:rsidR="0011365D">
        <w:t>outlining the differences between sum of RSRP and N cells triggering measurement reporting for mitigating the interference for UAV UEs</w:t>
      </w:r>
      <w:r w:rsidR="003A115B">
        <w:t xml:space="preserve">. In the course of the paper we have </w:t>
      </w:r>
      <w:r w:rsidR="00474EDE">
        <w:t xml:space="preserve">observed and </w:t>
      </w:r>
      <w:r w:rsidR="003A115B">
        <w:t>proposed the following:</w:t>
      </w:r>
    </w:p>
    <w:p w14:paraId="27C98762" w14:textId="05CDC2E9" w:rsidR="00DD5074" w:rsidRDefault="00895F61" w:rsidP="003627A9">
      <w:pPr>
        <w:rPr>
          <w:b/>
        </w:rPr>
      </w:pPr>
      <w:r>
        <w:rPr>
          <w:b/>
        </w:rPr>
        <w:fldChar w:fldCharType="begin"/>
      </w:r>
      <w:r>
        <w:rPr>
          <w:b/>
        </w:rPr>
        <w:instrText xml:space="preserve"> REF _Ref513552576 \r \h </w:instrText>
      </w:r>
      <w:r>
        <w:rPr>
          <w:b/>
        </w:rPr>
      </w:r>
      <w:r>
        <w:rPr>
          <w:b/>
        </w:rPr>
        <w:fldChar w:fldCharType="separate"/>
      </w:r>
      <w:r>
        <w:rPr>
          <w:b/>
        </w:rPr>
        <w:t>Observation 1:</w:t>
      </w:r>
      <w:r>
        <w:rPr>
          <w:b/>
        </w:rPr>
        <w:fldChar w:fldCharType="end"/>
      </w:r>
      <w:r>
        <w:rPr>
          <w:b/>
        </w:rPr>
        <w:t xml:space="preserve"> </w:t>
      </w:r>
      <w:r>
        <w:rPr>
          <w:b/>
        </w:rPr>
        <w:fldChar w:fldCharType="begin"/>
      </w:r>
      <w:r>
        <w:rPr>
          <w:b/>
        </w:rPr>
        <w:instrText xml:space="preserve"> REF _Ref513552576 \h </w:instrText>
      </w:r>
      <w:r>
        <w:rPr>
          <w:b/>
        </w:rPr>
      </w:r>
      <w:r>
        <w:rPr>
          <w:b/>
        </w:rPr>
        <w:fldChar w:fldCharType="separate"/>
      </w:r>
      <w:r w:rsidR="005A050E">
        <w:rPr>
          <w:b/>
        </w:rPr>
        <w:t>Triggering sum of RSRP can vary a lot for certain heights (even up to 20 dB – 25 dB difference is observed between the lowest and the highest sum triggering the measurement report in case of a -90 dBm threshold).</w:t>
      </w:r>
      <w:r>
        <w:rPr>
          <w:b/>
        </w:rPr>
        <w:fldChar w:fldCharType="end"/>
      </w:r>
    </w:p>
    <w:p w14:paraId="7AD0409F" w14:textId="73336154" w:rsidR="00895F61" w:rsidRDefault="00895F61" w:rsidP="003627A9">
      <w:pPr>
        <w:rPr>
          <w:b/>
        </w:rPr>
      </w:pPr>
      <w:r>
        <w:rPr>
          <w:b/>
        </w:rPr>
        <w:fldChar w:fldCharType="begin"/>
      </w:r>
      <w:r>
        <w:rPr>
          <w:b/>
        </w:rPr>
        <w:instrText xml:space="preserve"> REF _Ref513552590 \r \h </w:instrText>
      </w:r>
      <w:r>
        <w:rPr>
          <w:b/>
        </w:rPr>
      </w:r>
      <w:r>
        <w:rPr>
          <w:b/>
        </w:rPr>
        <w:fldChar w:fldCharType="separate"/>
      </w:r>
      <w:r>
        <w:rPr>
          <w:b/>
        </w:rPr>
        <w:t>Observation 2:</w:t>
      </w:r>
      <w:r>
        <w:rPr>
          <w:b/>
        </w:rPr>
        <w:fldChar w:fldCharType="end"/>
      </w:r>
      <w:r>
        <w:rPr>
          <w:b/>
        </w:rPr>
        <w:t xml:space="preserve"> </w:t>
      </w:r>
      <w:r>
        <w:rPr>
          <w:b/>
        </w:rPr>
        <w:fldChar w:fldCharType="begin"/>
      </w:r>
      <w:r>
        <w:rPr>
          <w:b/>
        </w:rPr>
        <w:instrText xml:space="preserve"> REF _Ref513552590 \h </w:instrText>
      </w:r>
      <w:r>
        <w:rPr>
          <w:b/>
        </w:rPr>
      </w:r>
      <w:r>
        <w:rPr>
          <w:b/>
        </w:rPr>
        <w:fldChar w:fldCharType="separate"/>
      </w:r>
      <w:r w:rsidR="005A050E" w:rsidRPr="009F620C">
        <w:rPr>
          <w:b/>
        </w:rPr>
        <w:t xml:space="preserve">The number of cells above the threshold may also </w:t>
      </w:r>
      <w:r w:rsidR="005A050E">
        <w:rPr>
          <w:b/>
        </w:rPr>
        <w:t xml:space="preserve">slightly vary </w:t>
      </w:r>
      <w:r w:rsidR="005A050E" w:rsidRPr="009F620C">
        <w:rPr>
          <w:b/>
        </w:rPr>
        <w:t>within the same height.</w:t>
      </w:r>
      <w:r>
        <w:rPr>
          <w:b/>
        </w:rPr>
        <w:fldChar w:fldCharType="end"/>
      </w:r>
    </w:p>
    <w:p w14:paraId="6BE171DE" w14:textId="0B3B4EFB" w:rsidR="00895F61" w:rsidRDefault="00895F61" w:rsidP="003627A9">
      <w:pPr>
        <w:rPr>
          <w:b/>
        </w:rPr>
      </w:pPr>
      <w:r>
        <w:rPr>
          <w:b/>
        </w:rPr>
        <w:fldChar w:fldCharType="begin"/>
      </w:r>
      <w:r>
        <w:rPr>
          <w:b/>
        </w:rPr>
        <w:instrText xml:space="preserve"> REF _Ref513552605 \r \h </w:instrText>
      </w:r>
      <w:r>
        <w:rPr>
          <w:b/>
        </w:rPr>
      </w:r>
      <w:r>
        <w:rPr>
          <w:b/>
        </w:rPr>
        <w:fldChar w:fldCharType="separate"/>
      </w:r>
      <w:r>
        <w:rPr>
          <w:b/>
        </w:rPr>
        <w:t>Proposal 1:</w:t>
      </w:r>
      <w:r>
        <w:rPr>
          <w:b/>
        </w:rPr>
        <w:fldChar w:fldCharType="end"/>
      </w:r>
      <w:r>
        <w:rPr>
          <w:b/>
        </w:rPr>
        <w:t xml:space="preserve"> </w:t>
      </w:r>
      <w:r>
        <w:rPr>
          <w:b/>
        </w:rPr>
        <w:fldChar w:fldCharType="begin"/>
      </w:r>
      <w:r>
        <w:rPr>
          <w:b/>
        </w:rPr>
        <w:instrText xml:space="preserve"> REF _Ref513552605 \h </w:instrText>
      </w:r>
      <w:r>
        <w:rPr>
          <w:b/>
        </w:rPr>
      </w:r>
      <w:r>
        <w:rPr>
          <w:b/>
        </w:rPr>
        <w:fldChar w:fldCharType="separate"/>
      </w:r>
      <w:r w:rsidR="005A050E">
        <w:rPr>
          <w:b/>
        </w:rPr>
        <w:t>As both “sum of RSRP” and N cells triggering” have certain performance and stability flaws, RAN2 is asked not to introduce a more complicated sum of RSRP, which requires new measurement event in RRC specification while not providing any performance improvement.</w:t>
      </w:r>
      <w:r>
        <w:rPr>
          <w:b/>
        </w:rPr>
        <w:fldChar w:fldCharType="end"/>
      </w:r>
    </w:p>
    <w:p w14:paraId="3941D19E" w14:textId="2D53739E" w:rsidR="00895F61" w:rsidRDefault="00895F61" w:rsidP="003627A9">
      <w:pPr>
        <w:rPr>
          <w:b/>
        </w:rPr>
      </w:pPr>
      <w:r>
        <w:rPr>
          <w:b/>
        </w:rPr>
        <w:fldChar w:fldCharType="begin"/>
      </w:r>
      <w:r>
        <w:rPr>
          <w:b/>
        </w:rPr>
        <w:instrText xml:space="preserve"> REF _Ref513552617 \r \h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_Ref513552617 \h </w:instrText>
      </w:r>
      <w:r>
        <w:rPr>
          <w:b/>
        </w:rPr>
      </w:r>
      <w:r>
        <w:rPr>
          <w:b/>
        </w:rPr>
        <w:fldChar w:fldCharType="separate"/>
      </w:r>
      <w:r w:rsidR="005A050E" w:rsidRPr="004542F4">
        <w:rPr>
          <w:b/>
        </w:rPr>
        <w:t>N (</w:t>
      </w:r>
      <w:r w:rsidR="005A050E">
        <w:rPr>
          <w:b/>
        </w:rPr>
        <w:t xml:space="preserve">i.e. </w:t>
      </w:r>
      <w:r w:rsidR="005A050E" w:rsidRPr="004542F4">
        <w:rPr>
          <w:b/>
        </w:rPr>
        <w:t xml:space="preserve">number of strongly interfering cells), used as trigger for interference-related measurement reporting is </w:t>
      </w:r>
      <w:r w:rsidR="005A050E">
        <w:rPr>
          <w:b/>
        </w:rPr>
        <w:t xml:space="preserve">pretty </w:t>
      </w:r>
      <w:r w:rsidR="005A050E" w:rsidRPr="004542F4">
        <w:rPr>
          <w:b/>
        </w:rPr>
        <w:t>stable and varies</w:t>
      </w:r>
      <w:r w:rsidR="005A050E">
        <w:rPr>
          <w:b/>
        </w:rPr>
        <w:t xml:space="preserve"> substantially</w:t>
      </w:r>
      <w:r w:rsidR="005A050E" w:rsidRPr="004542F4">
        <w:rPr>
          <w:b/>
        </w:rPr>
        <w:t xml:space="preserve"> only between the environment types (e.g. urban, rural)</w:t>
      </w:r>
      <w:r w:rsidR="005A050E">
        <w:rPr>
          <w:b/>
        </w:rPr>
        <w:t>. Sum of RSRP may span within 25 dB for a single height at a -90 dBm threshold, implying a much larger degree of unpredictability.</w:t>
      </w:r>
      <w:r>
        <w:rPr>
          <w:b/>
        </w:rPr>
        <w:fldChar w:fldCharType="end"/>
      </w:r>
    </w:p>
    <w:p w14:paraId="572AEB50" w14:textId="46A92B8F" w:rsidR="00895F61" w:rsidRPr="00303D43" w:rsidRDefault="00895F61" w:rsidP="003627A9">
      <w:pPr>
        <w:rPr>
          <w:b/>
        </w:rPr>
      </w:pPr>
      <w:r>
        <w:rPr>
          <w:b/>
        </w:rPr>
        <w:fldChar w:fldCharType="begin"/>
      </w:r>
      <w:r>
        <w:rPr>
          <w:b/>
        </w:rPr>
        <w:instrText xml:space="preserve"> REF _Ref513552636 \r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_Ref513552636 \h </w:instrText>
      </w:r>
      <w:r>
        <w:rPr>
          <w:b/>
        </w:rPr>
      </w:r>
      <w:r>
        <w:rPr>
          <w:b/>
        </w:rPr>
        <w:fldChar w:fldCharType="separate"/>
      </w:r>
      <w:r w:rsidR="005A050E">
        <w:rPr>
          <w:b/>
        </w:rPr>
        <w:t>Do not introduce a new event triggered based on the sum of RSRP from the neighbouring cells. Comparable performance can be achieved by simpler means, such as already agreed number of cells triggering.</w:t>
      </w:r>
      <w:r>
        <w:rPr>
          <w:b/>
        </w:rPr>
        <w:fldChar w:fldCharType="end"/>
      </w:r>
    </w:p>
    <w:p w14:paraId="0FDCFAC2" w14:textId="77777777" w:rsidR="00CD4C7B" w:rsidRPr="006E13D1" w:rsidRDefault="00CD4C7B" w:rsidP="00CD4C7B">
      <w:pPr>
        <w:pStyle w:val="Heading1"/>
      </w:pPr>
      <w:r w:rsidRPr="006E13D1">
        <w:t>References</w:t>
      </w:r>
    </w:p>
    <w:p w14:paraId="2B8C910F" w14:textId="0768E6B6" w:rsidR="00CD4C7B" w:rsidRPr="006E13D1" w:rsidRDefault="00591607" w:rsidP="00196284">
      <w:pPr>
        <w:numPr>
          <w:ilvl w:val="0"/>
          <w:numId w:val="4"/>
        </w:numPr>
        <w:overflowPunct w:val="0"/>
        <w:autoSpaceDE w:val="0"/>
        <w:autoSpaceDN w:val="0"/>
        <w:adjustRightInd w:val="0"/>
        <w:textAlignment w:val="baseline"/>
      </w:pPr>
      <w:bookmarkStart w:id="7" w:name="_Ref510521462"/>
      <w:bookmarkStart w:id="8" w:name="_Ref513469502"/>
      <w:bookmarkStart w:id="9" w:name="_Ref75086397"/>
      <w:r w:rsidRPr="00196284">
        <w:t>R2-180</w:t>
      </w:r>
      <w:r w:rsidR="00196284">
        <w:t>7</w:t>
      </w:r>
      <w:r w:rsidR="00CB49CF">
        <w:t>507</w:t>
      </w:r>
      <w:r w:rsidR="00CD4C7B" w:rsidRPr="006E13D1">
        <w:t xml:space="preserve"> </w:t>
      </w:r>
      <w:bookmarkEnd w:id="7"/>
      <w:r>
        <w:rPr>
          <w:i/>
        </w:rPr>
        <w:t>R</w:t>
      </w:r>
      <w:r w:rsidR="00D32C63">
        <w:rPr>
          <w:i/>
        </w:rPr>
        <w:t>eport from 101bis#58</w:t>
      </w:r>
      <w:r w:rsidR="00196284">
        <w:rPr>
          <w:i/>
        </w:rPr>
        <w:t xml:space="preserve"> I</w:t>
      </w:r>
      <w:r w:rsidR="00196284" w:rsidRPr="00196284">
        <w:rPr>
          <w:i/>
        </w:rPr>
        <w:t>dentify the necessity of reporting the sum of RSRP</w:t>
      </w:r>
      <w:r w:rsidR="00D32C63">
        <w:t>, 3GPP TSG-RAN WG2 Meeting #102</w:t>
      </w:r>
      <w:r w:rsidR="00900304">
        <w:t xml:space="preserve">, </w:t>
      </w:r>
      <w:r w:rsidR="00D32C63">
        <w:t>Busan</w:t>
      </w:r>
      <w:r w:rsidR="00900304">
        <w:t xml:space="preserve">, </w:t>
      </w:r>
      <w:r w:rsidR="00D32C63">
        <w:t>South Korea, 21</w:t>
      </w:r>
      <w:r w:rsidR="00D32C63" w:rsidRPr="00D32C63">
        <w:rPr>
          <w:vertAlign w:val="superscript"/>
        </w:rPr>
        <w:t>st</w:t>
      </w:r>
      <w:r w:rsidR="00D32C63">
        <w:t xml:space="preserve"> </w:t>
      </w:r>
      <w:r>
        <w:t>–</w:t>
      </w:r>
      <w:r w:rsidR="00900304">
        <w:t xml:space="preserve"> 2</w:t>
      </w:r>
      <w:r w:rsidR="00D32C63">
        <w:t>5</w:t>
      </w:r>
      <w:r w:rsidRPr="00591607">
        <w:rPr>
          <w:vertAlign w:val="superscript"/>
        </w:rPr>
        <w:t>th</w:t>
      </w:r>
      <w:r>
        <w:t xml:space="preserve"> </w:t>
      </w:r>
      <w:r w:rsidR="00D32C63">
        <w:t>May</w:t>
      </w:r>
      <w:r w:rsidR="00900304">
        <w:t xml:space="preserve"> 2018</w:t>
      </w:r>
      <w:bookmarkEnd w:id="8"/>
    </w:p>
    <w:p w14:paraId="61ABF6EB" w14:textId="707DABFF" w:rsidR="00CF16FD" w:rsidRDefault="00CF16FD" w:rsidP="00CF16FD">
      <w:pPr>
        <w:numPr>
          <w:ilvl w:val="0"/>
          <w:numId w:val="4"/>
        </w:numPr>
        <w:overflowPunct w:val="0"/>
        <w:autoSpaceDE w:val="0"/>
        <w:autoSpaceDN w:val="0"/>
        <w:adjustRightInd w:val="0"/>
        <w:textAlignment w:val="baseline"/>
      </w:pPr>
      <w:bookmarkStart w:id="10" w:name="_Ref513469559"/>
      <w:bookmarkStart w:id="11" w:name="_Ref513493674"/>
      <w:bookmarkEnd w:id="9"/>
      <w:r w:rsidRPr="00CF16FD">
        <w:t>R2-1805277</w:t>
      </w:r>
      <w:r>
        <w:t xml:space="preserve"> </w:t>
      </w:r>
      <w:r w:rsidRPr="00CF16FD">
        <w:rPr>
          <w:i/>
        </w:rPr>
        <w:t>Interference detection for UAVs</w:t>
      </w:r>
      <w:r>
        <w:t xml:space="preserve"> 3GPP TSG-RAN WG2 Meeting #101bis, Sanya, China, 16th - 20th April 2018</w:t>
      </w:r>
    </w:p>
    <w:p w14:paraId="377EF63A" w14:textId="491D2AB9" w:rsidR="00707060" w:rsidRDefault="00196284" w:rsidP="00196284">
      <w:pPr>
        <w:numPr>
          <w:ilvl w:val="0"/>
          <w:numId w:val="4"/>
        </w:numPr>
        <w:overflowPunct w:val="0"/>
        <w:autoSpaceDE w:val="0"/>
        <w:autoSpaceDN w:val="0"/>
        <w:adjustRightInd w:val="0"/>
        <w:textAlignment w:val="baseline"/>
      </w:pPr>
      <w:bookmarkStart w:id="12" w:name="_Ref513495362"/>
      <w:r w:rsidRPr="00196284">
        <w:t>R2-1805611</w:t>
      </w:r>
      <w:r>
        <w:t xml:space="preserve"> </w:t>
      </w:r>
      <w:r w:rsidRPr="00196284">
        <w:rPr>
          <w:i/>
        </w:rPr>
        <w:t>Measurement for interference and flying status detection</w:t>
      </w:r>
      <w:r w:rsidR="00707060">
        <w:t xml:space="preserve"> </w:t>
      </w:r>
      <w:r>
        <w:t>3GPP TSG-RAN WG2 Meeting #101bis, Sanya, China, 16th - 20th April 2018</w:t>
      </w:r>
    </w:p>
    <w:p w14:paraId="4AA5C936" w14:textId="78E65605" w:rsidR="00CD4C7B" w:rsidRPr="006E13D1" w:rsidRDefault="005C3DCA" w:rsidP="00280403">
      <w:pPr>
        <w:numPr>
          <w:ilvl w:val="0"/>
          <w:numId w:val="4"/>
        </w:numPr>
        <w:overflowPunct w:val="0"/>
        <w:autoSpaceDE w:val="0"/>
        <w:autoSpaceDN w:val="0"/>
        <w:adjustRightInd w:val="0"/>
        <w:textAlignment w:val="baseline"/>
      </w:pPr>
      <w:r>
        <w:t>3GPP TS 36.331,</w:t>
      </w:r>
      <w:bookmarkEnd w:id="10"/>
      <w:r>
        <w:t xml:space="preserve"> </w:t>
      </w:r>
      <w:r w:rsidR="00280403">
        <w:rPr>
          <w:i/>
          <w:iCs/>
        </w:rPr>
        <w:t xml:space="preserve">LTE Radio Resource Control (RRC) protocol specification, </w:t>
      </w:r>
      <w:r w:rsidR="00280403" w:rsidRPr="00636119">
        <w:rPr>
          <w:i/>
          <w:iCs/>
        </w:rPr>
        <w:t>V15.1.0 (2018-03)</w:t>
      </w:r>
      <w:bookmarkEnd w:id="11"/>
      <w:bookmarkEnd w:id="12"/>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34FD" w14:textId="77777777" w:rsidR="00F40305" w:rsidRDefault="00F40305">
      <w:r>
        <w:separator/>
      </w:r>
    </w:p>
  </w:endnote>
  <w:endnote w:type="continuationSeparator" w:id="0">
    <w:p w14:paraId="32250324" w14:textId="77777777" w:rsidR="00F40305" w:rsidRDefault="00F4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F1ECC" w14:textId="77777777" w:rsidR="00F40305" w:rsidRDefault="00F40305">
      <w:r>
        <w:separator/>
      </w:r>
    </w:p>
  </w:footnote>
  <w:footnote w:type="continuationSeparator" w:id="0">
    <w:p w14:paraId="6FE60A71" w14:textId="77777777" w:rsidR="00F40305" w:rsidRDefault="00F4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C1821"/>
    <w:multiLevelType w:val="hybridMultilevel"/>
    <w:tmpl w:val="E00CB9B0"/>
    <w:lvl w:ilvl="0" w:tplc="37B22EB8">
      <w:start w:val="1"/>
      <w:numFmt w:val="decimal"/>
      <w:lvlText w:val="Observation %1:"/>
      <w:lvlJc w:val="left"/>
      <w:pPr>
        <w:ind w:left="766" w:hanging="360"/>
      </w:pPr>
      <w:rPr>
        <w:rFonts w:hint="eastAsia"/>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06C14F65"/>
    <w:multiLevelType w:val="hybridMultilevel"/>
    <w:tmpl w:val="3B78EFB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F4A65"/>
    <w:multiLevelType w:val="hybridMultilevel"/>
    <w:tmpl w:val="8956401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04F8A"/>
    <w:multiLevelType w:val="hybridMultilevel"/>
    <w:tmpl w:val="2C76285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A73BEA"/>
    <w:multiLevelType w:val="hybridMultilevel"/>
    <w:tmpl w:val="8A1A70BE"/>
    <w:lvl w:ilvl="0" w:tplc="FF2E1E44">
      <w:start w:val="20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077F8"/>
    <w:multiLevelType w:val="hybridMultilevel"/>
    <w:tmpl w:val="7084FBBC"/>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F6B32"/>
    <w:multiLevelType w:val="hybridMultilevel"/>
    <w:tmpl w:val="5B123A7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04709"/>
    <w:multiLevelType w:val="hybridMultilevel"/>
    <w:tmpl w:val="5CAA4256"/>
    <w:lvl w:ilvl="0" w:tplc="06007A5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91665"/>
    <w:multiLevelType w:val="hybridMultilevel"/>
    <w:tmpl w:val="A9EEA52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A6051"/>
    <w:multiLevelType w:val="hybridMultilevel"/>
    <w:tmpl w:val="F35242D6"/>
    <w:lvl w:ilvl="0" w:tplc="605E4C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D511C"/>
    <w:multiLevelType w:val="hybridMultilevel"/>
    <w:tmpl w:val="CE423F2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6FD6"/>
    <w:multiLevelType w:val="hybridMultilevel"/>
    <w:tmpl w:val="641CE8C0"/>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04512"/>
    <w:multiLevelType w:val="hybridMultilevel"/>
    <w:tmpl w:val="FB6AAD1C"/>
    <w:lvl w:ilvl="0" w:tplc="DACA341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0571AB"/>
    <w:multiLevelType w:val="hybridMultilevel"/>
    <w:tmpl w:val="B97EAA7C"/>
    <w:lvl w:ilvl="0" w:tplc="A12A6262">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4F3D69"/>
    <w:multiLevelType w:val="hybridMultilevel"/>
    <w:tmpl w:val="A63A9DA8"/>
    <w:lvl w:ilvl="0" w:tplc="B8C4C72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5"/>
  </w:num>
  <w:num w:numId="6">
    <w:abstractNumId w:val="14"/>
  </w:num>
  <w:num w:numId="7">
    <w:abstractNumId w:val="12"/>
  </w:num>
  <w:num w:numId="8">
    <w:abstractNumId w:val="4"/>
  </w:num>
  <w:num w:numId="9">
    <w:abstractNumId w:val="7"/>
  </w:num>
  <w:num w:numId="10">
    <w:abstractNumId w:val="17"/>
  </w:num>
  <w:num w:numId="11">
    <w:abstractNumId w:val="9"/>
  </w:num>
  <w:num w:numId="12">
    <w:abstractNumId w:val="11"/>
  </w:num>
  <w:num w:numId="13">
    <w:abstractNumId w:val="3"/>
  </w:num>
  <w:num w:numId="14">
    <w:abstractNumId w:val="5"/>
  </w:num>
  <w:num w:numId="15">
    <w:abstractNumId w:val="10"/>
  </w:num>
  <w:num w:numId="16">
    <w:abstractNumId w:val="2"/>
  </w:num>
  <w:num w:numId="17">
    <w:abstractNumId w:val="13"/>
  </w:num>
  <w:num w:numId="18">
    <w:abstractNumId w:val="1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3F9"/>
    <w:rsid w:val="00052581"/>
    <w:rsid w:val="000638E1"/>
    <w:rsid w:val="00070C21"/>
    <w:rsid w:val="00071688"/>
    <w:rsid w:val="00077E52"/>
    <w:rsid w:val="00080512"/>
    <w:rsid w:val="0008673A"/>
    <w:rsid w:val="00090468"/>
    <w:rsid w:val="00091497"/>
    <w:rsid w:val="000B7BCF"/>
    <w:rsid w:val="000C0792"/>
    <w:rsid w:val="000C522B"/>
    <w:rsid w:val="000D58AB"/>
    <w:rsid w:val="000F2354"/>
    <w:rsid w:val="00112F1A"/>
    <w:rsid w:val="0011365D"/>
    <w:rsid w:val="001233DD"/>
    <w:rsid w:val="00145075"/>
    <w:rsid w:val="00145E2D"/>
    <w:rsid w:val="00153EEE"/>
    <w:rsid w:val="001572D3"/>
    <w:rsid w:val="00157AA0"/>
    <w:rsid w:val="001741A0"/>
    <w:rsid w:val="00175D44"/>
    <w:rsid w:val="00175FA0"/>
    <w:rsid w:val="00194CD0"/>
    <w:rsid w:val="00196284"/>
    <w:rsid w:val="001A16C2"/>
    <w:rsid w:val="001B49C9"/>
    <w:rsid w:val="001C448C"/>
    <w:rsid w:val="001C4F79"/>
    <w:rsid w:val="001E2AC1"/>
    <w:rsid w:val="001F168B"/>
    <w:rsid w:val="001F1719"/>
    <w:rsid w:val="001F7831"/>
    <w:rsid w:val="00204045"/>
    <w:rsid w:val="0020712B"/>
    <w:rsid w:val="002072AF"/>
    <w:rsid w:val="002153B5"/>
    <w:rsid w:val="0022606D"/>
    <w:rsid w:val="00231728"/>
    <w:rsid w:val="00236B37"/>
    <w:rsid w:val="00270EA7"/>
    <w:rsid w:val="0027189C"/>
    <w:rsid w:val="002747EC"/>
    <w:rsid w:val="00280403"/>
    <w:rsid w:val="002814A2"/>
    <w:rsid w:val="002855BF"/>
    <w:rsid w:val="00295AFC"/>
    <w:rsid w:val="002C42FB"/>
    <w:rsid w:val="002D15A0"/>
    <w:rsid w:val="002F0D22"/>
    <w:rsid w:val="002F32D1"/>
    <w:rsid w:val="00303D43"/>
    <w:rsid w:val="003172DC"/>
    <w:rsid w:val="00325AE3"/>
    <w:rsid w:val="00326069"/>
    <w:rsid w:val="0033178D"/>
    <w:rsid w:val="00340A10"/>
    <w:rsid w:val="0035462D"/>
    <w:rsid w:val="003627A9"/>
    <w:rsid w:val="00364B41"/>
    <w:rsid w:val="00384460"/>
    <w:rsid w:val="00391A6F"/>
    <w:rsid w:val="003A115B"/>
    <w:rsid w:val="003A294A"/>
    <w:rsid w:val="003A3549"/>
    <w:rsid w:val="003B40AD"/>
    <w:rsid w:val="003C4E37"/>
    <w:rsid w:val="003E16BE"/>
    <w:rsid w:val="003F5ABC"/>
    <w:rsid w:val="004006E8"/>
    <w:rsid w:val="00401855"/>
    <w:rsid w:val="00403D24"/>
    <w:rsid w:val="00435DBC"/>
    <w:rsid w:val="0043756F"/>
    <w:rsid w:val="00453EDE"/>
    <w:rsid w:val="004542F4"/>
    <w:rsid w:val="00465650"/>
    <w:rsid w:val="00474EDE"/>
    <w:rsid w:val="00477455"/>
    <w:rsid w:val="00487EC9"/>
    <w:rsid w:val="004A1F7B"/>
    <w:rsid w:val="004B5F8B"/>
    <w:rsid w:val="004C44D2"/>
    <w:rsid w:val="004C5DA8"/>
    <w:rsid w:val="004D3578"/>
    <w:rsid w:val="004D380D"/>
    <w:rsid w:val="004E213A"/>
    <w:rsid w:val="00503171"/>
    <w:rsid w:val="00506C28"/>
    <w:rsid w:val="00517311"/>
    <w:rsid w:val="00534DA0"/>
    <w:rsid w:val="00537A70"/>
    <w:rsid w:val="00543E6C"/>
    <w:rsid w:val="00565087"/>
    <w:rsid w:val="0056573F"/>
    <w:rsid w:val="00590292"/>
    <w:rsid w:val="00591607"/>
    <w:rsid w:val="005A050E"/>
    <w:rsid w:val="005C3DCA"/>
    <w:rsid w:val="00601C1C"/>
    <w:rsid w:val="00602AE0"/>
    <w:rsid w:val="00611566"/>
    <w:rsid w:val="00612687"/>
    <w:rsid w:val="00617176"/>
    <w:rsid w:val="0063510A"/>
    <w:rsid w:val="0064208D"/>
    <w:rsid w:val="00646D99"/>
    <w:rsid w:val="00647E2D"/>
    <w:rsid w:val="00655497"/>
    <w:rsid w:val="00656910"/>
    <w:rsid w:val="006638AF"/>
    <w:rsid w:val="006864AD"/>
    <w:rsid w:val="006C0AB9"/>
    <w:rsid w:val="006C66D8"/>
    <w:rsid w:val="006D1E24"/>
    <w:rsid w:val="006E1417"/>
    <w:rsid w:val="006F0DD9"/>
    <w:rsid w:val="006F6A2C"/>
    <w:rsid w:val="00707060"/>
    <w:rsid w:val="00710201"/>
    <w:rsid w:val="007102DB"/>
    <w:rsid w:val="007342B5"/>
    <w:rsid w:val="00734A5B"/>
    <w:rsid w:val="00744E76"/>
    <w:rsid w:val="00755C97"/>
    <w:rsid w:val="00757D40"/>
    <w:rsid w:val="00762960"/>
    <w:rsid w:val="00781F0F"/>
    <w:rsid w:val="0078727C"/>
    <w:rsid w:val="0079049D"/>
    <w:rsid w:val="00790F71"/>
    <w:rsid w:val="007912E3"/>
    <w:rsid w:val="00793566"/>
    <w:rsid w:val="00793DC5"/>
    <w:rsid w:val="007B18D8"/>
    <w:rsid w:val="007B6B29"/>
    <w:rsid w:val="007C001B"/>
    <w:rsid w:val="007C095F"/>
    <w:rsid w:val="007D27DF"/>
    <w:rsid w:val="007F2602"/>
    <w:rsid w:val="008028A4"/>
    <w:rsid w:val="00813245"/>
    <w:rsid w:val="0085564F"/>
    <w:rsid w:val="00863842"/>
    <w:rsid w:val="00865DE4"/>
    <w:rsid w:val="008768CA"/>
    <w:rsid w:val="00877EF9"/>
    <w:rsid w:val="00880559"/>
    <w:rsid w:val="00895F61"/>
    <w:rsid w:val="008B01FA"/>
    <w:rsid w:val="008B5306"/>
    <w:rsid w:val="008C16BD"/>
    <w:rsid w:val="008D2E4D"/>
    <w:rsid w:val="008E279B"/>
    <w:rsid w:val="00900304"/>
    <w:rsid w:val="0090271F"/>
    <w:rsid w:val="00902DB9"/>
    <w:rsid w:val="0090466A"/>
    <w:rsid w:val="00906D3E"/>
    <w:rsid w:val="00912882"/>
    <w:rsid w:val="00921129"/>
    <w:rsid w:val="00936071"/>
    <w:rsid w:val="00940212"/>
    <w:rsid w:val="00942EC2"/>
    <w:rsid w:val="00961B32"/>
    <w:rsid w:val="00970DB3"/>
    <w:rsid w:val="00974BB0"/>
    <w:rsid w:val="00976AEB"/>
    <w:rsid w:val="009A0AF3"/>
    <w:rsid w:val="009A5FC8"/>
    <w:rsid w:val="009B07CD"/>
    <w:rsid w:val="009B3DA4"/>
    <w:rsid w:val="009C19E9"/>
    <w:rsid w:val="009D6BA3"/>
    <w:rsid w:val="009D74A6"/>
    <w:rsid w:val="009F4844"/>
    <w:rsid w:val="009F620C"/>
    <w:rsid w:val="00A10F02"/>
    <w:rsid w:val="00A14CD2"/>
    <w:rsid w:val="00A15564"/>
    <w:rsid w:val="00A204CA"/>
    <w:rsid w:val="00A53724"/>
    <w:rsid w:val="00A57730"/>
    <w:rsid w:val="00A82346"/>
    <w:rsid w:val="00A84478"/>
    <w:rsid w:val="00A95CA7"/>
    <w:rsid w:val="00A9671C"/>
    <w:rsid w:val="00AA09F6"/>
    <w:rsid w:val="00AA1553"/>
    <w:rsid w:val="00AA2E4B"/>
    <w:rsid w:val="00AC0825"/>
    <w:rsid w:val="00AC332A"/>
    <w:rsid w:val="00B05962"/>
    <w:rsid w:val="00B15449"/>
    <w:rsid w:val="00B27303"/>
    <w:rsid w:val="00B27487"/>
    <w:rsid w:val="00B33422"/>
    <w:rsid w:val="00B47FD1"/>
    <w:rsid w:val="00B516BB"/>
    <w:rsid w:val="00B70E1C"/>
    <w:rsid w:val="00B918E1"/>
    <w:rsid w:val="00BC3555"/>
    <w:rsid w:val="00BE2865"/>
    <w:rsid w:val="00BE4D08"/>
    <w:rsid w:val="00BF45D8"/>
    <w:rsid w:val="00C12B51"/>
    <w:rsid w:val="00C24650"/>
    <w:rsid w:val="00C33079"/>
    <w:rsid w:val="00C72F21"/>
    <w:rsid w:val="00C745D3"/>
    <w:rsid w:val="00C83A13"/>
    <w:rsid w:val="00C9068C"/>
    <w:rsid w:val="00C92967"/>
    <w:rsid w:val="00CA3D0C"/>
    <w:rsid w:val="00CA654B"/>
    <w:rsid w:val="00CB49CF"/>
    <w:rsid w:val="00CD4C7B"/>
    <w:rsid w:val="00CF16FD"/>
    <w:rsid w:val="00D14F57"/>
    <w:rsid w:val="00D311DC"/>
    <w:rsid w:val="00D31619"/>
    <w:rsid w:val="00D32C63"/>
    <w:rsid w:val="00D33BE3"/>
    <w:rsid w:val="00D3792D"/>
    <w:rsid w:val="00D42A62"/>
    <w:rsid w:val="00D45EBD"/>
    <w:rsid w:val="00D55E47"/>
    <w:rsid w:val="00D62E19"/>
    <w:rsid w:val="00D67CD1"/>
    <w:rsid w:val="00D738D6"/>
    <w:rsid w:val="00D80795"/>
    <w:rsid w:val="00D8393B"/>
    <w:rsid w:val="00D854BE"/>
    <w:rsid w:val="00D87E00"/>
    <w:rsid w:val="00D9134D"/>
    <w:rsid w:val="00D96D11"/>
    <w:rsid w:val="00DA7A03"/>
    <w:rsid w:val="00DB0910"/>
    <w:rsid w:val="00DB0DB8"/>
    <w:rsid w:val="00DB1818"/>
    <w:rsid w:val="00DB7654"/>
    <w:rsid w:val="00DC309B"/>
    <w:rsid w:val="00DC4DA2"/>
    <w:rsid w:val="00DC5F12"/>
    <w:rsid w:val="00DD5074"/>
    <w:rsid w:val="00DD59EF"/>
    <w:rsid w:val="00E16D58"/>
    <w:rsid w:val="00E471CF"/>
    <w:rsid w:val="00E62835"/>
    <w:rsid w:val="00E77645"/>
    <w:rsid w:val="00E77BFB"/>
    <w:rsid w:val="00E83697"/>
    <w:rsid w:val="00EC4A25"/>
    <w:rsid w:val="00EE7711"/>
    <w:rsid w:val="00F01C51"/>
    <w:rsid w:val="00F025A2"/>
    <w:rsid w:val="00F053FA"/>
    <w:rsid w:val="00F07388"/>
    <w:rsid w:val="00F1307A"/>
    <w:rsid w:val="00F2026E"/>
    <w:rsid w:val="00F2210A"/>
    <w:rsid w:val="00F269EF"/>
    <w:rsid w:val="00F37743"/>
    <w:rsid w:val="00F40305"/>
    <w:rsid w:val="00F429C0"/>
    <w:rsid w:val="00F54A3D"/>
    <w:rsid w:val="00F54CB0"/>
    <w:rsid w:val="00F653B8"/>
    <w:rsid w:val="00F71B89"/>
    <w:rsid w:val="00F7353C"/>
    <w:rsid w:val="00F76F8F"/>
    <w:rsid w:val="00F83D9A"/>
    <w:rsid w:val="00F90D25"/>
    <w:rsid w:val="00FA0D88"/>
    <w:rsid w:val="00FA1266"/>
    <w:rsid w:val="00FB36FA"/>
    <w:rsid w:val="00FC1192"/>
    <w:rsid w:val="00FC29E3"/>
    <w:rsid w:val="00FE251B"/>
    <w:rsid w:val="00FF38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14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11DC"/>
    <w:pPr>
      <w:ind w:left="720"/>
      <w:contextualSpacing/>
    </w:pPr>
  </w:style>
  <w:style w:type="character" w:styleId="CommentReference">
    <w:name w:val="annotation reference"/>
    <w:basedOn w:val="DefaultParagraphFont"/>
    <w:rsid w:val="00612687"/>
    <w:rPr>
      <w:sz w:val="16"/>
      <w:szCs w:val="16"/>
    </w:rPr>
  </w:style>
  <w:style w:type="paragraph" w:styleId="CommentText">
    <w:name w:val="annotation text"/>
    <w:basedOn w:val="Normal"/>
    <w:link w:val="CommentTextChar"/>
    <w:rsid w:val="00612687"/>
  </w:style>
  <w:style w:type="character" w:customStyle="1" w:styleId="CommentTextChar">
    <w:name w:val="Comment Text Char"/>
    <w:basedOn w:val="DefaultParagraphFont"/>
    <w:link w:val="CommentText"/>
    <w:rsid w:val="00612687"/>
    <w:rPr>
      <w:lang w:eastAsia="en-US"/>
    </w:rPr>
  </w:style>
  <w:style w:type="paragraph" w:styleId="CommentSubject">
    <w:name w:val="annotation subject"/>
    <w:basedOn w:val="CommentText"/>
    <w:next w:val="CommentText"/>
    <w:link w:val="CommentSubjectChar"/>
    <w:rsid w:val="00612687"/>
    <w:rPr>
      <w:b/>
      <w:bCs/>
    </w:rPr>
  </w:style>
  <w:style w:type="character" w:customStyle="1" w:styleId="CommentSubjectChar">
    <w:name w:val="Comment Subject Char"/>
    <w:basedOn w:val="CommentTextChar"/>
    <w:link w:val="CommentSubject"/>
    <w:rsid w:val="00612687"/>
    <w:rPr>
      <w:b/>
      <w:bCs/>
      <w:lang w:eastAsia="en-US"/>
    </w:rPr>
  </w:style>
  <w:style w:type="paragraph" w:styleId="Caption">
    <w:name w:val="caption"/>
    <w:basedOn w:val="Normal"/>
    <w:next w:val="Normal"/>
    <w:unhideWhenUsed/>
    <w:qFormat/>
    <w:rsid w:val="002718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310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074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5AIRPNAIUNRU-859666464-1925</_dlc_DocId>
    <Information xmlns="3b34c8f0-1ef5-4d1e-bb66-517ce7fe7356" xsi:nil="true"/>
    <_dlc_DocIdUrl xmlns="71c5aaf6-e6ce-465b-b873-5148d2a4c105">
      <Url>https://nokia.sharepoint.com/sites/c5g/e2earch/_layouts/15/DocIdRedir.aspx?ID=5AIRPNAIUNRU-859666464-1925</Url>
      <Description>5AIRPNAIUNRU-859666464-1925</Description>
    </_dlc_DocIdUrl>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4.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5.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6.xml><?xml version="1.0" encoding="utf-8"?>
<ds:datastoreItem xmlns:ds="http://schemas.openxmlformats.org/officeDocument/2006/customXml" ds:itemID="{BC415B02-9E82-46C1-8D63-F854FACD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441</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86</cp:revision>
  <dcterms:created xsi:type="dcterms:W3CDTF">2018-05-07T11:50:00Z</dcterms:created>
  <dcterms:modified xsi:type="dcterms:W3CDTF">2018-05-11T05:47:00Z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cfc4a74f-9b0d-45ad-85d3-4fef7d05856e</vt:lpwstr>
  </property>
</Properties>
</file>